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CD69A"/>
        <w:tblCellMar>
          <w:left w:w="0" w:type="dxa"/>
          <w:right w:w="0" w:type="dxa"/>
        </w:tblCellMar>
        <w:tblLook w:val="04A0"/>
      </w:tblPr>
      <w:tblGrid>
        <w:gridCol w:w="14570"/>
      </w:tblGrid>
      <w:tr w:rsidR="00173520" w:rsidRPr="00173520" w:rsidTr="002E70FC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73520" w:rsidRPr="002E70FC" w:rsidRDefault="00771894" w:rsidP="002E70FC">
            <w:r>
              <w:pict>
                <v:rect id="_x0000_i1025" style="width:546.4pt;height:.75pt" o:hrpct="750" o:hralign="center" o:hrstd="t" o:hr="t" fillcolor="#a0a0a0" stroked="f"/>
              </w:pict>
            </w:r>
          </w:p>
          <w:p w:rsidR="00173520" w:rsidRPr="00F45ACB" w:rsidRDefault="00173520" w:rsidP="002E70FC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before="75" w:after="75" w:line="240" w:lineRule="auto"/>
              <w:ind w:right="75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F45ACB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НОРМАТИВЫ ПОТРЕБЛЕНИЯ КОММУНАЛЬНЫХ УСЛУГ НАСЕЛЕНИЕМ ГОРОДА СМОЛЕНСКА В 2015 Г.</w:t>
            </w:r>
          </w:p>
          <w:p w:rsidR="00173520" w:rsidRPr="00173520" w:rsidRDefault="00771894" w:rsidP="00F45ACB">
            <w:pPr>
              <w:shd w:val="clear" w:color="auto" w:fill="FFFF0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894">
              <w:rPr>
                <w:rFonts w:ascii="Arial" w:eastAsia="Times New Roman" w:hAnsi="Arial" w:cs="Arial"/>
                <w:sz w:val="18"/>
                <w:szCs w:val="18"/>
              </w:rPr>
              <w:pict>
                <v:rect id="_x0000_i1026" style="width:364.25pt;height:.75pt" o:hrpct="500" o:hralign="center" o:hrstd="t" o:hr="t" fillcolor="#a0a0a0" stroked="f"/>
              </w:pict>
            </w:r>
          </w:p>
        </w:tc>
      </w:tr>
      <w:tr w:rsidR="00173520" w:rsidRPr="00173520" w:rsidTr="00173520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150" w:after="150" w:line="240" w:lineRule="auto"/>
              <w:ind w:left="50" w:right="50" w:firstLine="125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580551">
              <w:rPr>
                <w:rFonts w:ascii="Arial" w:eastAsia="Times New Roman" w:hAnsi="Arial" w:cs="Arial"/>
                <w:b/>
                <w:bCs/>
                <w:caps/>
                <w:sz w:val="20"/>
              </w:rPr>
              <w:t>1. НОРМАТИВЫ ПОТРЕБЛЕНИЯ КОММУНАЛЬНЫХ УСЛУГ ПО ВОДОСНАБЖЕНИЮ И ВОДООТВЕДЕНИЮ В ЖИЛЫХ ПОМЕЩЕНИЯХ ДЛЯ НАСЕЛЕНИЯ ГОРОДА СМОЛЕНСКА </w:t>
            </w:r>
            <w:r w:rsidRPr="00580551">
              <w:rPr>
                <w:rFonts w:ascii="Arial" w:eastAsia="Times New Roman" w:hAnsi="Arial" w:cs="Arial"/>
                <w:b/>
                <w:bCs/>
                <w:i/>
                <w:iCs/>
                <w:caps/>
                <w:sz w:val="20"/>
              </w:rPr>
              <w:t>(ПОСТАНОВЛЕНИЕ ДЕПАРТАМЕНТА СМОЛЕНСКОЙ ОБЛАСТИ ПО ЭНЕРГЕТИКЕ, ЭНЕРГОЭФФЕКТИВНОСТИ, ТАРИФНОЙ ПОЛИТИКЕ ОТ 24.08.2012 № 50) C 01.09.2012</w:t>
            </w:r>
          </w:p>
          <w:p w:rsidR="00173520" w:rsidRPr="00173520" w:rsidRDefault="00173520" w:rsidP="00173520">
            <w:pPr>
              <w:shd w:val="clear" w:color="auto" w:fill="FFFFFF" w:themeFill="background1"/>
              <w:spacing w:before="50" w:after="50" w:line="240" w:lineRule="auto"/>
              <w:ind w:left="50" w:right="50" w:firstLine="12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0551">
              <w:rPr>
                <w:rFonts w:ascii="Arial" w:eastAsia="Times New Roman" w:hAnsi="Arial" w:cs="Arial"/>
                <w:b/>
                <w:bCs/>
                <w:i/>
                <w:iCs/>
                <w:sz w:val="18"/>
              </w:rPr>
              <w:t>куб. м на 1 чел. в месяц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341500"/>
                <w:left w:val="outset" w:sz="6" w:space="0" w:color="341500"/>
                <w:bottom w:val="outset" w:sz="6" w:space="0" w:color="341500"/>
                <w:right w:val="outset" w:sz="6" w:space="0" w:color="3415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0"/>
              <w:gridCol w:w="9022"/>
              <w:gridCol w:w="777"/>
              <w:gridCol w:w="1444"/>
              <w:gridCol w:w="1444"/>
              <w:gridCol w:w="1437"/>
            </w:tblGrid>
            <w:tr w:rsidR="00173520" w:rsidRPr="00173520" w:rsidTr="002E70FC">
              <w:trPr>
                <w:tblCellSpacing w:w="0" w:type="dxa"/>
                <w:jc w:val="center"/>
              </w:trPr>
              <w:tc>
                <w:tcPr>
                  <w:tcW w:w="148" w:type="pct"/>
                  <w:vMerge w:val="restar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3100" w:type="pct"/>
                  <w:vMerge w:val="restar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8D494B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Водоснабжение</w:t>
                  </w:r>
                </w:p>
              </w:tc>
              <w:tc>
                <w:tcPr>
                  <w:tcW w:w="494" w:type="pct"/>
                  <w:vMerge w:val="restar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Водоотведение</w:t>
                  </w:r>
                </w:p>
              </w:tc>
            </w:tr>
            <w:tr w:rsidR="00173520" w:rsidRPr="00173520" w:rsidTr="002E70F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7" w:type="pct"/>
                  <w:vMerge w:val="restar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580551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8D494B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73520" w:rsidRPr="00173520" w:rsidTr="002E70F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6" w:type="pc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8D494B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горячее водоснабжение</w:t>
                  </w:r>
                </w:p>
              </w:tc>
              <w:tc>
                <w:tcPr>
                  <w:tcW w:w="496" w:type="pc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8D494B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73520" w:rsidRPr="00173520" w:rsidTr="001735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80551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1. Степень благоустройства многоквартирных и жилых домов</w:t>
                  </w:r>
                </w:p>
              </w:tc>
            </w:tr>
            <w:tr w:rsidR="00173520" w:rsidRPr="00173520" w:rsidT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централизованное горячее водоснабжение с ваннами длиной от 1500 мм до 1700 мм, оборудованными душем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8,40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3,92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4,48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8,40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централизованное горячее водоснабжение с сидячими ваннами длиной 1200 мм, оборудованными душем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8,09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3,77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4,32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8,09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централизованное горячее водоснабжение, душ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7,33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3,01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4,32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7,33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централизованное горячее водоснабжение, без ванны и душа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3,99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1,19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3,99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без ванны, с газоснабжением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3,26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3,26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3,26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1,89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1,89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без ванны, без газоснабжения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3,10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3,10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3,10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Холодное водоснабжение, централизованная канализация, ванна, водонагреватель, работающий на твердом топливе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5,23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5,23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5,23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Холодное водоснабжение, централизованная канализация, ванна, газовый или электрический водонагреватель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6,60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6,60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6,60</w:t>
                  </w: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73520" w:rsidRP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vAlign w:val="center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73520" w:rsidRPr="00173520" w:rsidRDefault="00F45ACB" w:rsidP="00F45ACB">
            <w:pPr>
              <w:shd w:val="clear" w:color="auto" w:fill="FFFFFF" w:themeFill="background1"/>
              <w:spacing w:before="150" w:after="150" w:line="240" w:lineRule="auto"/>
              <w:ind w:left="50" w:right="50" w:firstLine="125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F45ACB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2</w:t>
            </w:r>
            <w:r w:rsidR="00173520" w:rsidRPr="00F45ACB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.</w:t>
            </w:r>
            <w:r w:rsidR="00173520" w:rsidRPr="00580551">
              <w:rPr>
                <w:rFonts w:ascii="Arial" w:eastAsia="Times New Roman" w:hAnsi="Arial" w:cs="Arial"/>
                <w:b/>
                <w:bCs/>
                <w:caps/>
                <w:sz w:val="20"/>
              </w:rPr>
              <w:t xml:space="preserve"> </w:t>
            </w:r>
            <w:r w:rsidR="00173520" w:rsidRPr="00F45ACB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  <w:t>НОРМАТИВЫ ПОТРЕБЛЕНИЯ КОММУНАЛЬНЫХ УСЛУГ ПО ВОДОСНАБЖЕНИЮ НА ОБЩЕДОМОВЫЕ НУЖДЫ НА ТЕРРИТОРИИ СМОЛЕНСКОЙ ОБЛАСТИ </w:t>
            </w:r>
            <w:r w:rsidR="00173520" w:rsidRPr="00F45ACB">
              <w:rPr>
                <w:rFonts w:ascii="Arial" w:eastAsia="Times New Roman" w:hAnsi="Arial" w:cs="Arial"/>
                <w:b/>
                <w:bCs/>
                <w:i/>
                <w:iCs/>
                <w:caps/>
                <w:sz w:val="24"/>
                <w:szCs w:val="24"/>
              </w:rPr>
              <w:t>(ПОСТАНОВЛЕНИЕ ДЕПАРТАМЕНТА СМОЛЕНСКОЙ ОБЛАСТИ ПО ЭНЕРГЕТИКЕ, ЭНЕРГОЭФФЕКТИВНОСТИ, ТАРИФНОЙ ПОЛИТИКЕ ОТ 17.05.2013 № 195) С 01.06.2013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341500"/>
                <w:left w:val="outset" w:sz="6" w:space="0" w:color="341500"/>
                <w:bottom w:val="outset" w:sz="6" w:space="0" w:color="341500"/>
                <w:right w:val="outset" w:sz="6" w:space="0" w:color="3415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38"/>
              <w:gridCol w:w="10916"/>
            </w:tblGrid>
            <w:tr w:rsidR="00173520" w:rsidRPr="00173520" w:rsidTr="00173520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3750" w:type="pct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8D494B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580551">
                    <w:rPr>
                      <w:rFonts w:ascii="Arial" w:eastAsia="Times New Roman" w:hAnsi="Arial" w:cs="Arial"/>
                      <w:bCs/>
                      <w:sz w:val="18"/>
                    </w:rPr>
                    <w:t>Норматив потребления</w:t>
                  </w:r>
                  <w:r w:rsidRPr="00173520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br/>
                    <w:t xml:space="preserve">(куб. </w:t>
                  </w:r>
                  <w:proofErr w:type="gramStart"/>
                  <w:r w:rsidRPr="00173520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м</w:t>
                  </w:r>
                  <w:proofErr w:type="gramEnd"/>
                  <w:r w:rsidRPr="00173520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 в месяц на 1 кв. м общей площади помещений, входящих в состав общего имущества многоквартирного дома)</w:t>
                  </w:r>
                </w:p>
              </w:tc>
            </w:tr>
            <w:tr w:rsidR="00173520" w:rsidRPr="00173520" w:rsidT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холодная вода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0,019</w:t>
                  </w:r>
                </w:p>
              </w:tc>
            </w:tr>
            <w:tr w:rsidR="00173520" w:rsidRPr="00173520" w:rsidTr="00173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shd w:val="clear" w:color="auto" w:fill="FFFFFF" w:themeFill="background1"/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горячая вода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341500"/>
                    <w:left w:val="outset" w:sz="6" w:space="0" w:color="341500"/>
                    <w:bottom w:val="outset" w:sz="6" w:space="0" w:color="341500"/>
                    <w:right w:val="outset" w:sz="6" w:space="0" w:color="341500"/>
                  </w:tcBorders>
                  <w:hideMark/>
                </w:tcPr>
                <w:p w:rsidR="00173520" w:rsidRPr="00173520" w:rsidRDefault="00173520" w:rsidP="001735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352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0,009</w:t>
                  </w:r>
                </w:p>
              </w:tc>
            </w:tr>
          </w:tbl>
          <w:p w:rsidR="00173520" w:rsidRPr="00173520" w:rsidRDefault="00173520" w:rsidP="00173520">
            <w:pPr>
              <w:shd w:val="clear" w:color="auto" w:fill="FFFFFF" w:themeFill="background1"/>
              <w:spacing w:before="50" w:after="50" w:line="240" w:lineRule="auto"/>
              <w:ind w:left="50" w:right="50" w:firstLine="1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0551">
              <w:rPr>
                <w:rFonts w:ascii="Arial" w:eastAsia="Times New Roman" w:hAnsi="Arial" w:cs="Arial"/>
                <w:b/>
                <w:bCs/>
                <w:sz w:val="18"/>
              </w:rPr>
              <w:t>Примечание.</w:t>
            </w:r>
          </w:p>
          <w:p w:rsidR="00173520" w:rsidRPr="00173520" w:rsidRDefault="00173520" w:rsidP="00173520">
            <w:pPr>
              <w:shd w:val="clear" w:color="auto" w:fill="FFFFFF" w:themeFill="background1"/>
              <w:spacing w:before="50" w:after="50" w:line="240" w:lineRule="auto"/>
              <w:ind w:left="50" w:right="50" w:firstLine="1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73520">
              <w:rPr>
                <w:rFonts w:ascii="Arial" w:eastAsia="Times New Roman" w:hAnsi="Arial" w:cs="Arial"/>
                <w:sz w:val="18"/>
                <w:szCs w:val="18"/>
              </w:rPr>
      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      </w:r>
            <w:proofErr w:type="gramEnd"/>
            <w:r w:rsidRPr="00173520">
              <w:rPr>
                <w:rFonts w:ascii="Arial" w:eastAsia="Times New Roman" w:hAnsi="Arial" w:cs="Arial"/>
                <w:sz w:val="18"/>
                <w:szCs w:val="18"/>
              </w:rPr>
              <w:t xml:space="preserve"> собственникам.</w:t>
            </w:r>
          </w:p>
          <w:p w:rsidR="00173520" w:rsidRPr="00173520" w:rsidRDefault="00173520" w:rsidP="00173520">
            <w:pPr>
              <w:shd w:val="clear" w:color="auto" w:fill="FFFFFF" w:themeFill="background1"/>
              <w:spacing w:before="50" w:after="50" w:line="240" w:lineRule="auto"/>
              <w:ind w:left="50" w:right="50" w:firstLine="1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735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73520" w:rsidRDefault="00173520" w:rsidP="00173520">
      <w:pPr>
        <w:shd w:val="clear" w:color="auto" w:fill="FFFFFF" w:themeFill="background1"/>
        <w:spacing w:before="150" w:after="150" w:line="240" w:lineRule="auto"/>
        <w:ind w:left="50" w:right="50" w:firstLine="125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10189"/>
        <w:gridCol w:w="981"/>
        <w:gridCol w:w="760"/>
        <w:gridCol w:w="981"/>
        <w:gridCol w:w="1168"/>
      </w:tblGrid>
      <w:tr w:rsidR="00F45ACB" w:rsidRPr="00442E12" w:rsidTr="00BB0468">
        <w:trPr>
          <w:trHeight w:val="1165"/>
        </w:trPr>
        <w:tc>
          <w:tcPr>
            <w:tcW w:w="15310" w:type="dxa"/>
            <w:gridSpan w:val="6"/>
            <w:shd w:val="clear" w:color="auto" w:fill="FFFFFF" w:themeFill="background1"/>
          </w:tcPr>
          <w:p w:rsidR="00F45ACB" w:rsidRPr="00173520" w:rsidRDefault="00F45ACB" w:rsidP="00BB0468">
            <w:pPr>
              <w:shd w:val="clear" w:color="auto" w:fill="FFFFFF" w:themeFill="background1"/>
              <w:spacing w:before="150" w:after="150" w:line="240" w:lineRule="auto"/>
              <w:ind w:left="50" w:right="50" w:firstLine="125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lastRenderedPageBreak/>
              <w:t xml:space="preserve">КОММУНАЛЬНЫе  </w:t>
            </w:r>
            <w:r w:rsidRPr="0017352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 xml:space="preserve"> УСЛУГ</w:t>
            </w:r>
            <w:r w:rsidRPr="00442E12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 xml:space="preserve">и  ДЛЯ  НАСЕЛЕНИЯ </w:t>
            </w:r>
            <w:r w:rsidRPr="0017352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 xml:space="preserve"> ГОРОДА СМОЛЕНСКА В 2015 Г.</w:t>
            </w:r>
          </w:p>
          <w:p w:rsidR="00F45ACB" w:rsidRPr="00442E12" w:rsidRDefault="00F45ACB" w:rsidP="00BB0468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before="100" w:after="100" w:line="240" w:lineRule="auto"/>
              <w:ind w:right="50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B046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Тарифы на питьевую воду и водоотведение СМУП «</w:t>
            </w:r>
            <w:proofErr w:type="spellStart"/>
            <w:r w:rsidRPr="00BB046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Горводоканал</w:t>
            </w:r>
            <w:proofErr w:type="spellEnd"/>
            <w:r w:rsidRPr="00BB046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» (г. Смоленск) </w:t>
            </w:r>
            <w:proofErr w:type="gramStart"/>
            <w:r w:rsidRPr="00BB04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( </w:t>
            </w:r>
            <w:proofErr w:type="gramEnd"/>
            <w:r w:rsidRPr="00BB04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постановление Департамента Смоленской области по энергетике, </w:t>
            </w:r>
            <w:proofErr w:type="spellStart"/>
            <w:r w:rsidRPr="00BB04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энергоэффективности</w:t>
            </w:r>
            <w:proofErr w:type="spellEnd"/>
            <w:r w:rsidRPr="00BB04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, тарифной политике от 19.12.2014 № 369 )</w:t>
            </w:r>
          </w:p>
        </w:tc>
      </w:tr>
      <w:tr w:rsidR="00173520" w:rsidRPr="00173520" w:rsidTr="00E6393C">
        <w:tblPrEx>
          <w:tblCellSpacing w:w="0" w:type="dxa"/>
          <w:tblBorders>
            <w:top w:val="outset" w:sz="6" w:space="0" w:color="341500"/>
            <w:left w:val="outset" w:sz="6" w:space="0" w:color="341500"/>
            <w:bottom w:val="outset" w:sz="6" w:space="0" w:color="341500"/>
            <w:right w:val="outset" w:sz="6" w:space="0" w:color="341500"/>
            <w:insideH w:val="none" w:sz="0" w:space="0" w:color="auto"/>
            <w:insideV w:val="none" w:sz="0" w:space="0" w:color="auto"/>
          </w:tblBorders>
          <w:shd w:val="clear" w:color="auto" w:fill="ECD69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231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89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3890" w:type="dxa"/>
            <w:gridSpan w:val="4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Размер тарифов </w:t>
            </w: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(руб./</w:t>
            </w:r>
            <w:proofErr w:type="gramStart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proofErr w:type="gramEnd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3)</w:t>
            </w:r>
          </w:p>
        </w:tc>
      </w:tr>
      <w:tr w:rsidR="00173520" w:rsidRPr="00173520" w:rsidTr="00E6393C">
        <w:tblPrEx>
          <w:tblCellSpacing w:w="0" w:type="dxa"/>
          <w:tblBorders>
            <w:top w:val="outset" w:sz="6" w:space="0" w:color="341500"/>
            <w:left w:val="outset" w:sz="6" w:space="0" w:color="341500"/>
            <w:bottom w:val="outset" w:sz="6" w:space="0" w:color="341500"/>
            <w:right w:val="outset" w:sz="6" w:space="0" w:color="341500"/>
            <w:insideH w:val="none" w:sz="0" w:space="0" w:color="auto"/>
            <w:insideV w:val="none" w:sz="0" w:space="0" w:color="auto"/>
          </w:tblBorders>
          <w:shd w:val="clear" w:color="auto" w:fill="ECD69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231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9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01.01.2015</w:t>
            </w:r>
          </w:p>
        </w:tc>
        <w:tc>
          <w:tcPr>
            <w:tcW w:w="2149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01.07.2015</w:t>
            </w:r>
          </w:p>
        </w:tc>
      </w:tr>
      <w:tr w:rsidR="00442E12" w:rsidRPr="00173520" w:rsidTr="00E6393C">
        <w:tblPrEx>
          <w:tblCellSpacing w:w="0" w:type="dxa"/>
          <w:tblBorders>
            <w:top w:val="outset" w:sz="6" w:space="0" w:color="341500"/>
            <w:left w:val="outset" w:sz="6" w:space="0" w:color="341500"/>
            <w:bottom w:val="outset" w:sz="6" w:space="0" w:color="341500"/>
            <w:right w:val="outset" w:sz="6" w:space="0" w:color="341500"/>
            <w:insideH w:val="none" w:sz="0" w:space="0" w:color="auto"/>
            <w:insideV w:val="none" w:sz="0" w:space="0" w:color="auto"/>
          </w:tblBorders>
          <w:shd w:val="clear" w:color="auto" w:fill="ECD69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231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9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1168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(с НДС)</w:t>
            </w:r>
          </w:p>
        </w:tc>
      </w:tr>
      <w:tr w:rsidR="006F2691" w:rsidRPr="00173520" w:rsidTr="00E6393C">
        <w:tblPrEx>
          <w:tblCellSpacing w:w="0" w:type="dxa"/>
          <w:tblBorders>
            <w:top w:val="outset" w:sz="6" w:space="0" w:color="341500"/>
            <w:left w:val="outset" w:sz="6" w:space="0" w:color="341500"/>
            <w:bottom w:val="outset" w:sz="6" w:space="0" w:color="341500"/>
            <w:right w:val="outset" w:sz="6" w:space="0" w:color="341500"/>
            <w:insideH w:val="none" w:sz="0" w:space="0" w:color="auto"/>
            <w:insideV w:val="none" w:sz="0" w:space="0" w:color="auto"/>
          </w:tblBorders>
          <w:shd w:val="clear" w:color="auto" w:fill="ECD69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231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442E12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0189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Услуги по водоснабжению: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- население;</w:t>
            </w:r>
            <w:r w:rsidRPr="00442E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- прочие потребители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15,84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15,84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18,69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18,69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17,57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17,57</w:t>
            </w:r>
          </w:p>
        </w:tc>
        <w:tc>
          <w:tcPr>
            <w:tcW w:w="1168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20,73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20,73</w:t>
            </w:r>
          </w:p>
        </w:tc>
      </w:tr>
      <w:tr w:rsidR="006F2691" w:rsidRPr="00173520" w:rsidTr="00E6393C">
        <w:tblPrEx>
          <w:tblCellSpacing w:w="0" w:type="dxa"/>
          <w:tblBorders>
            <w:top w:val="outset" w:sz="6" w:space="0" w:color="341500"/>
            <w:left w:val="outset" w:sz="6" w:space="0" w:color="341500"/>
            <w:bottom w:val="outset" w:sz="6" w:space="0" w:color="341500"/>
            <w:right w:val="outset" w:sz="6" w:space="0" w:color="341500"/>
            <w:insideH w:val="none" w:sz="0" w:space="0" w:color="auto"/>
            <w:insideV w:val="none" w:sz="0" w:space="0" w:color="auto"/>
          </w:tblBorders>
          <w:shd w:val="clear" w:color="auto" w:fill="ECD69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231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442E12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0189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Услуги по водоотведению:</w:t>
            </w:r>
            <w:proofErr w:type="gramStart"/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-</w:t>
            </w:r>
            <w:proofErr w:type="gramEnd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население;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- прочие потребители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11,09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11,09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13,09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13,09</w:t>
            </w:r>
          </w:p>
        </w:tc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12,28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12,28</w:t>
            </w:r>
          </w:p>
        </w:tc>
        <w:tc>
          <w:tcPr>
            <w:tcW w:w="1168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14,49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br/>
              <w:t>14,49</w:t>
            </w:r>
          </w:p>
        </w:tc>
      </w:tr>
    </w:tbl>
    <w:p w:rsidR="00173520" w:rsidRPr="00442E12" w:rsidRDefault="00442E12" w:rsidP="00BB0468">
      <w:pPr>
        <w:shd w:val="clear" w:color="auto" w:fill="FFFFFF" w:themeFill="background1"/>
        <w:spacing w:before="100" w:after="100" w:line="240" w:lineRule="auto"/>
        <w:ind w:right="50"/>
        <w:rPr>
          <w:rFonts w:ascii="Arial" w:eastAsia="Times New Roman" w:hAnsi="Arial" w:cs="Arial"/>
          <w:b/>
          <w:bCs/>
          <w:sz w:val="20"/>
          <w:szCs w:val="20"/>
        </w:rPr>
      </w:pPr>
      <w:r w:rsidRPr="00442E12">
        <w:rPr>
          <w:rFonts w:ascii="Arial" w:eastAsia="Times New Roman" w:hAnsi="Arial" w:cs="Arial"/>
          <w:b/>
          <w:bCs/>
          <w:sz w:val="20"/>
          <w:szCs w:val="20"/>
        </w:rPr>
        <w:t xml:space="preserve">2. </w:t>
      </w:r>
      <w:r w:rsidR="00173520" w:rsidRPr="00442E12">
        <w:rPr>
          <w:rFonts w:ascii="Arial" w:eastAsia="Times New Roman" w:hAnsi="Arial" w:cs="Arial"/>
          <w:b/>
          <w:bCs/>
          <w:sz w:val="20"/>
          <w:szCs w:val="20"/>
        </w:rPr>
        <w:t>Цена (тарифы) на электрическую энергию для населения Смоленской области </w:t>
      </w:r>
      <w:r w:rsidR="00173520" w:rsidRPr="00442E1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(постановление Департамента Смоленской области по энергетике, </w:t>
      </w:r>
      <w:proofErr w:type="spellStart"/>
      <w:r w:rsidR="00173520" w:rsidRPr="00442E12">
        <w:rPr>
          <w:rFonts w:ascii="Arial" w:eastAsia="Times New Roman" w:hAnsi="Arial" w:cs="Arial"/>
          <w:b/>
          <w:bCs/>
          <w:i/>
          <w:iCs/>
          <w:sz w:val="20"/>
          <w:szCs w:val="20"/>
        </w:rPr>
        <w:t>энергоэффективности</w:t>
      </w:r>
      <w:proofErr w:type="spellEnd"/>
      <w:r w:rsidR="00173520" w:rsidRPr="00442E12">
        <w:rPr>
          <w:rFonts w:ascii="Arial" w:eastAsia="Times New Roman" w:hAnsi="Arial" w:cs="Arial"/>
          <w:b/>
          <w:bCs/>
          <w:i/>
          <w:iCs/>
          <w:sz w:val="20"/>
          <w:szCs w:val="20"/>
        </w:rPr>
        <w:t>, тарифной политике от 19.12.2014 № 740</w:t>
      </w:r>
      <w:proofErr w:type="gramStart"/>
      <w:r w:rsidR="00173520" w:rsidRPr="00442E1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)</w:t>
      </w:r>
      <w:proofErr w:type="gramEnd"/>
    </w:p>
    <w:tbl>
      <w:tblPr>
        <w:tblW w:w="5243" w:type="pct"/>
        <w:tblCellSpacing w:w="0" w:type="dxa"/>
        <w:tblInd w:w="-411" w:type="dxa"/>
        <w:tblBorders>
          <w:top w:val="outset" w:sz="6" w:space="0" w:color="341500"/>
          <w:left w:val="outset" w:sz="6" w:space="0" w:color="341500"/>
          <w:bottom w:val="outset" w:sz="6" w:space="0" w:color="341500"/>
          <w:right w:val="outset" w:sz="6" w:space="0" w:color="341500"/>
        </w:tblBorders>
        <w:shd w:val="clear" w:color="auto" w:fill="ECD69A"/>
        <w:tblCellMar>
          <w:left w:w="0" w:type="dxa"/>
          <w:right w:w="0" w:type="dxa"/>
        </w:tblCellMar>
        <w:tblLook w:val="04A0"/>
      </w:tblPr>
      <w:tblGrid>
        <w:gridCol w:w="710"/>
        <w:gridCol w:w="9355"/>
        <w:gridCol w:w="1704"/>
        <w:gridCol w:w="706"/>
        <w:gridCol w:w="2835"/>
      </w:tblGrid>
      <w:tr w:rsidR="00173520" w:rsidRPr="00173520" w:rsidTr="006F2691">
        <w:trPr>
          <w:tblCellSpacing w:w="0" w:type="dxa"/>
        </w:trPr>
        <w:tc>
          <w:tcPr>
            <w:tcW w:w="710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 </w:t>
            </w:r>
            <w:proofErr w:type="spellStart"/>
            <w:proofErr w:type="gramStart"/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55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Размер тарифов </w:t>
            </w:r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(руб./</w:t>
            </w:r>
            <w:proofErr w:type="spellStart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кВт</w:t>
            </w:r>
            <w:proofErr w:type="gramStart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.ч</w:t>
            </w:r>
            <w:proofErr w:type="spellEnd"/>
            <w:proofErr w:type="gramEnd"/>
            <w:r w:rsidRPr="001735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с НДС)</w:t>
            </w:r>
          </w:p>
        </w:tc>
      </w:tr>
      <w:tr w:rsidR="006F2691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6F2691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01.01.2015 </w:t>
            </w:r>
          </w:p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30.06.2015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6F2691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01.07.2015 </w:t>
            </w:r>
          </w:p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31.12.2015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4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Население, за исключением </w:t>
            </w:r>
            <w:proofErr w:type="gramStart"/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442E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пункте 2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Одноставочный</w:t>
            </w:r>
            <w:proofErr w:type="spellEnd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3,01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3,25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1.2.</w:t>
            </w:r>
          </w:p>
        </w:tc>
        <w:tc>
          <w:tcPr>
            <w:tcW w:w="14600" w:type="dxa"/>
            <w:gridSpan w:val="4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Одноставочный</w:t>
            </w:r>
            <w:proofErr w:type="spellEnd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 xml:space="preserve"> тариф, дифференцированный по двум зонам суток*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3,06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3,37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ночная зона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2,15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1.3.</w:t>
            </w:r>
          </w:p>
        </w:tc>
        <w:tc>
          <w:tcPr>
            <w:tcW w:w="14600" w:type="dxa"/>
            <w:gridSpan w:val="4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Одноставочный</w:t>
            </w:r>
            <w:proofErr w:type="spellEnd"/>
            <w:r w:rsidRPr="00173520">
              <w:rPr>
                <w:rFonts w:ascii="Arial" w:eastAsia="Times New Roman" w:hAnsi="Arial" w:cs="Arial"/>
                <w:sz w:val="20"/>
                <w:szCs w:val="20"/>
              </w:rPr>
              <w:t xml:space="preserve"> тариф, дифференцированный по трем зонам суток*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пиковая зона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3,09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3,40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полупиковая зона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3,01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3,25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ночная зона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2,15</w:t>
            </w: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520">
              <w:rPr>
                <w:rFonts w:ascii="Arial" w:eastAsia="Times New Roman" w:hAnsi="Arial" w:cs="Arial"/>
                <w:sz w:val="20"/>
                <w:szCs w:val="20"/>
              </w:rPr>
              <w:t>2,17</w:t>
            </w: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6F2691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0468" w:rsidRPr="00173520" w:rsidTr="00D0399B">
        <w:trPr>
          <w:trHeight w:val="867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BB0468" w:rsidRPr="00173520" w:rsidRDefault="00BB0468" w:rsidP="00BB0468">
            <w:pPr>
              <w:shd w:val="clear" w:color="auto" w:fill="FFFFFF" w:themeFill="background1"/>
              <w:spacing w:before="50" w:after="50" w:line="240" w:lineRule="auto"/>
              <w:ind w:left="50" w:right="50" w:firstLine="1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F26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Примечание.</w:t>
            </w:r>
            <w:r w:rsidRPr="00173520">
              <w:rPr>
                <w:rFonts w:ascii="Arial" w:eastAsia="Times New Roman" w:hAnsi="Arial" w:cs="Arial"/>
                <w:sz w:val="14"/>
                <w:szCs w:val="14"/>
              </w:rPr>
              <w:t xml:space="preserve">*Интервалы тарифных зон суток ежегодно устанавливаются Федеральной службой по тарифам (интервалы тарифных зон суток для населения и приравненных к нему категорий потребителей на 2015 год установлены приказом ФСТ России от 26.11.2013 № 1473-э).**В соответствии с постановлением Департамента Смоленской области по энергетике, </w:t>
            </w:r>
            <w:proofErr w:type="spellStart"/>
            <w:r w:rsidRPr="00173520">
              <w:rPr>
                <w:rFonts w:ascii="Arial" w:eastAsia="Times New Roman" w:hAnsi="Arial" w:cs="Arial"/>
                <w:sz w:val="14"/>
                <w:szCs w:val="14"/>
              </w:rPr>
              <w:t>энергоэффективности</w:t>
            </w:r>
            <w:proofErr w:type="spellEnd"/>
            <w:r w:rsidRPr="00173520">
              <w:rPr>
                <w:rFonts w:ascii="Arial" w:eastAsia="Times New Roman" w:hAnsi="Arial" w:cs="Arial"/>
                <w:sz w:val="14"/>
                <w:szCs w:val="14"/>
              </w:rPr>
              <w:t>, тарифной политике от 19.12.2014 № 427 «Об установлении понижающих коэффициентов к тарифам на электрическую энергию для населения и приравненных к населению категорий потребителей Смоленской области на 2015 год» к тарифам на электрическую энергию для населения применен понижающий коэффициент в размере 0,7.</w:t>
            </w:r>
            <w:r w:rsidRPr="001735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BB0468" w:rsidRPr="00173520" w:rsidRDefault="00BB0468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BB0468" w:rsidRPr="00173520" w:rsidRDefault="00BB0468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 w:val="restart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0" w:type="dxa"/>
            <w:gridSpan w:val="4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520" w:rsidRPr="00173520" w:rsidTr="006F2691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vAlign w:val="center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FFFFFF" w:themeFill="background1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173520" w:rsidRPr="00173520" w:rsidRDefault="00173520" w:rsidP="00173520">
            <w:pPr>
              <w:shd w:val="clear" w:color="auto" w:fill="FFFFFF" w:themeFill="background1"/>
              <w:spacing w:before="75" w:after="7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80278" w:rsidRPr="00442E12" w:rsidRDefault="00980278" w:rsidP="00173520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980278" w:rsidRPr="00442E12" w:rsidSect="00442E1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589"/>
    <w:multiLevelType w:val="hybridMultilevel"/>
    <w:tmpl w:val="75F231CC"/>
    <w:lvl w:ilvl="0" w:tplc="5D6097E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63807002"/>
    <w:multiLevelType w:val="hybridMultilevel"/>
    <w:tmpl w:val="576E8A1A"/>
    <w:lvl w:ilvl="0" w:tplc="95369F2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520"/>
    <w:rsid w:val="00173520"/>
    <w:rsid w:val="002E70FC"/>
    <w:rsid w:val="00442E12"/>
    <w:rsid w:val="00580551"/>
    <w:rsid w:val="006662E1"/>
    <w:rsid w:val="006F2691"/>
    <w:rsid w:val="00771894"/>
    <w:rsid w:val="00884DE5"/>
    <w:rsid w:val="00980278"/>
    <w:rsid w:val="00BB0468"/>
    <w:rsid w:val="00BE7864"/>
    <w:rsid w:val="00D16FAB"/>
    <w:rsid w:val="00E6393C"/>
    <w:rsid w:val="00F223FB"/>
    <w:rsid w:val="00F4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ge">
    <w:name w:val="titlepage"/>
    <w:basedOn w:val="a"/>
    <w:rsid w:val="0017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-1">
    <w:name w:val="zagl-1"/>
    <w:basedOn w:val="a"/>
    <w:rsid w:val="0017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3520"/>
    <w:rPr>
      <w:b/>
      <w:bCs/>
    </w:rPr>
  </w:style>
  <w:style w:type="character" w:customStyle="1" w:styleId="apple-converted-space">
    <w:name w:val="apple-converted-space"/>
    <w:basedOn w:val="a0"/>
    <w:rsid w:val="00173520"/>
  </w:style>
  <w:style w:type="character" w:styleId="a4">
    <w:name w:val="Emphasis"/>
    <w:basedOn w:val="a0"/>
    <w:uiPriority w:val="20"/>
    <w:qFormat/>
    <w:rsid w:val="00173520"/>
    <w:rPr>
      <w:i/>
      <w:iCs/>
    </w:rPr>
  </w:style>
  <w:style w:type="paragraph" w:customStyle="1" w:styleId="podpis">
    <w:name w:val="podpis"/>
    <w:basedOn w:val="a"/>
    <w:rsid w:val="0017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7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-2">
    <w:name w:val="zagl-2"/>
    <w:basedOn w:val="a"/>
    <w:rsid w:val="0017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45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7E58-DA64-4C05-8860-753ED399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7</cp:revision>
  <cp:lastPrinted>2015-05-13T13:29:00Z</cp:lastPrinted>
  <dcterms:created xsi:type="dcterms:W3CDTF">2015-05-13T12:31:00Z</dcterms:created>
  <dcterms:modified xsi:type="dcterms:W3CDTF">2015-05-14T10:59:00Z</dcterms:modified>
</cp:coreProperties>
</file>